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811" w:rsidRPr="00675811" w:rsidRDefault="00675811" w:rsidP="00675811">
      <w:pPr>
        <w:pStyle w:val="INtitle2"/>
        <w:numPr>
          <w:ilvl w:val="0"/>
          <w:numId w:val="0"/>
        </w:numPr>
        <w:spacing w:before="0" w:after="0"/>
        <w:ind w:left="578"/>
      </w:pPr>
      <w:bookmarkStart w:id="0" w:name="_Toc336590714"/>
      <w:bookmarkStart w:id="1" w:name="_Toc340061998"/>
    </w:p>
    <w:bookmarkEnd w:id="0"/>
    <w:bookmarkEnd w:id="1"/>
    <w:p w:rsidR="008C0784" w:rsidRPr="00675811" w:rsidRDefault="00675811" w:rsidP="00675811">
      <w:pPr>
        <w:pStyle w:val="INtitle2"/>
        <w:numPr>
          <w:ilvl w:val="0"/>
          <w:numId w:val="0"/>
        </w:numPr>
        <w:spacing w:before="0" w:after="0"/>
        <w:ind w:left="578"/>
        <w:jc w:val="center"/>
        <w:rPr>
          <w:i w:val="0"/>
        </w:rPr>
      </w:pPr>
      <w:r w:rsidRPr="00675811">
        <w:rPr>
          <w:i w:val="0"/>
        </w:rPr>
        <w:t>Germany</w:t>
      </w:r>
    </w:p>
    <w:p w:rsidR="00675811" w:rsidRPr="00675811" w:rsidRDefault="00675811" w:rsidP="00675811">
      <w:pPr>
        <w:pStyle w:val="INnormal"/>
        <w:spacing w:after="0" w:line="240" w:lineRule="auto"/>
        <w:jc w:val="both"/>
        <w:rPr>
          <w:sz w:val="24"/>
          <w:szCs w:val="24"/>
        </w:rPr>
      </w:pPr>
    </w:p>
    <w:p w:rsidR="008C0784" w:rsidRPr="00587DF2" w:rsidRDefault="008C0784" w:rsidP="008C0784">
      <w:pPr>
        <w:pStyle w:val="INnormal"/>
        <w:jc w:val="both"/>
        <w:rPr>
          <w:rFonts w:ascii="Arial" w:hAnsi="Arial" w:cs="Arial"/>
          <w:sz w:val="18"/>
          <w:szCs w:val="18"/>
        </w:rPr>
      </w:pPr>
      <w:r w:rsidRPr="00587DF2">
        <w:rPr>
          <w:rFonts w:ascii="Arial" w:hAnsi="Arial" w:cs="Arial"/>
          <w:sz w:val="18"/>
          <w:szCs w:val="18"/>
        </w:rPr>
        <w:t>In Germany 7.215 biogas plants with an energy generation capacity of 2,904 MW are installed in 2011. The majorities of these plants are generating electricity from manure and energy crops and are operated and owned by farmers or farmer’s cooperatives. Nearly 1,000 biogas plants are owned by communities and the main substrate is here sewage sludge and the organic fraction of municipal solid waste (OFMSW). 200 plants are operated by the sector “industry” using mainly waste water.</w:t>
      </w:r>
    </w:p>
    <w:p w:rsidR="008C0784" w:rsidRPr="00587DF2" w:rsidRDefault="008C0784" w:rsidP="008C0784">
      <w:pPr>
        <w:pStyle w:val="INnormal"/>
        <w:jc w:val="both"/>
        <w:rPr>
          <w:rFonts w:ascii="Arial" w:hAnsi="Arial" w:cs="Arial"/>
          <w:sz w:val="18"/>
          <w:szCs w:val="18"/>
        </w:rPr>
      </w:pPr>
      <w:r w:rsidRPr="00587DF2">
        <w:rPr>
          <w:rFonts w:ascii="Arial" w:hAnsi="Arial" w:cs="Arial"/>
          <w:sz w:val="18"/>
          <w:szCs w:val="18"/>
        </w:rPr>
        <w:t xml:space="preserve">In the field of organic waste the main residues are treated in composting plants (approx. Total sum of 11 Mio t capacities). Merely about 100 biogas plants are operating with a total sum of 2.6 Mio t capacities (Kern, 2011). </w:t>
      </w:r>
    </w:p>
    <w:p w:rsidR="008C0784" w:rsidRPr="00587DF2" w:rsidRDefault="008C0784" w:rsidP="008C0784">
      <w:pPr>
        <w:pStyle w:val="INnormal"/>
        <w:jc w:val="both"/>
        <w:rPr>
          <w:rFonts w:ascii="Arial" w:hAnsi="Arial" w:cs="Arial"/>
          <w:sz w:val="18"/>
          <w:szCs w:val="18"/>
        </w:rPr>
      </w:pPr>
      <w:r w:rsidRPr="00587DF2">
        <w:rPr>
          <w:rFonts w:ascii="Arial" w:hAnsi="Arial" w:cs="Arial"/>
          <w:sz w:val="18"/>
          <w:szCs w:val="18"/>
        </w:rPr>
        <w:t xml:space="preserve">Besides the conventional processing of biogas into combined heat and power engines, an injection of biogas into the natural gas grid is promoted. In 2011 already 80 biogas </w:t>
      </w:r>
      <w:bookmarkStart w:id="2" w:name="_GoBack"/>
      <w:bookmarkEnd w:id="2"/>
      <w:r w:rsidRPr="00587DF2">
        <w:rPr>
          <w:rFonts w:ascii="Arial" w:hAnsi="Arial" w:cs="Arial"/>
          <w:sz w:val="18"/>
          <w:szCs w:val="18"/>
        </w:rPr>
        <w:t xml:space="preserve">processing installations with a capacity of 460 million Nm³ are connected to the natural gas grid in Germany. </w:t>
      </w:r>
    </w:p>
    <w:p w:rsidR="008C0784" w:rsidRPr="00587DF2" w:rsidRDefault="008C0784" w:rsidP="008C0784">
      <w:pPr>
        <w:pStyle w:val="INnormal"/>
        <w:jc w:val="both"/>
        <w:rPr>
          <w:rFonts w:ascii="Arial" w:hAnsi="Arial" w:cs="Arial"/>
          <w:sz w:val="18"/>
          <w:szCs w:val="18"/>
        </w:rPr>
      </w:pPr>
      <w:r w:rsidRPr="00587DF2">
        <w:rPr>
          <w:rFonts w:ascii="Arial" w:hAnsi="Arial" w:cs="Arial"/>
          <w:sz w:val="18"/>
          <w:szCs w:val="18"/>
        </w:rPr>
        <w:t>In Germany</w:t>
      </w:r>
      <w:r w:rsidRPr="00587DF2">
        <w:rPr>
          <w:rFonts w:ascii="Arial" w:hAnsi="Arial" w:cs="Arial"/>
          <w:sz w:val="18"/>
          <w:szCs w:val="18"/>
          <w:lang w:eastAsia="nl-BE"/>
        </w:rPr>
        <w:t xml:space="preserve"> </w:t>
      </w:r>
      <w:r w:rsidRPr="00587DF2">
        <w:rPr>
          <w:rFonts w:ascii="Arial" w:hAnsi="Arial" w:cs="Arial"/>
          <w:sz w:val="18"/>
          <w:szCs w:val="18"/>
        </w:rPr>
        <w:t>nearly 92 % of the existing plants are running on wet-fermentation-technologies, only 8 % are operating with dry-fermentation.</w:t>
      </w:r>
    </w:p>
    <w:p w:rsidR="008C0784" w:rsidRPr="00587DF2" w:rsidRDefault="00587DF2" w:rsidP="008C0784">
      <w:pPr>
        <w:pStyle w:val="INnormal"/>
        <w:jc w:val="both"/>
        <w:rPr>
          <w:rFonts w:ascii="Arial" w:hAnsi="Arial" w:cs="Arial"/>
          <w:sz w:val="18"/>
          <w:szCs w:val="18"/>
        </w:rPr>
      </w:pPr>
      <w:r>
        <w:rPr>
          <w:rFonts w:ascii="Arial" w:hAnsi="Arial" w:cs="Arial"/>
          <w:sz w:val="18"/>
          <w:szCs w:val="18"/>
        </w:rPr>
        <w:t xml:space="preserve">The table </w:t>
      </w:r>
      <w:r w:rsidR="008C0784" w:rsidRPr="00587DF2">
        <w:rPr>
          <w:rFonts w:ascii="Arial" w:hAnsi="Arial" w:cs="Arial"/>
          <w:sz w:val="18"/>
          <w:szCs w:val="18"/>
        </w:rPr>
        <w:t>displays the current acceleration statistics and a forecast for the German biogas sector (FACHVERBAND BIOGAS E.V., 2012).</w:t>
      </w:r>
    </w:p>
    <w:tbl>
      <w:tblPr>
        <w:tblStyle w:val="Rcsostblzat"/>
        <w:tblW w:w="5000" w:type="pct"/>
        <w:tblLook w:val="04A0" w:firstRow="1" w:lastRow="0" w:firstColumn="1" w:lastColumn="0" w:noHBand="0" w:noVBand="1"/>
      </w:tblPr>
      <w:tblGrid>
        <w:gridCol w:w="4042"/>
        <w:gridCol w:w="1102"/>
        <w:gridCol w:w="1102"/>
        <w:gridCol w:w="1521"/>
        <w:gridCol w:w="1521"/>
      </w:tblGrid>
      <w:tr w:rsidR="008C0784" w:rsidRPr="00587DF2" w:rsidTr="00444CE0">
        <w:tc>
          <w:tcPr>
            <w:tcW w:w="2176" w:type="pct"/>
          </w:tcPr>
          <w:p w:rsidR="008C0784" w:rsidRPr="00587DF2" w:rsidRDefault="008C0784" w:rsidP="00444CE0">
            <w:pPr>
              <w:pStyle w:val="INcaption"/>
              <w:rPr>
                <w:rFonts w:ascii="Arial" w:hAnsi="Arial" w:cs="Arial"/>
                <w:sz w:val="18"/>
                <w:szCs w:val="18"/>
              </w:rPr>
            </w:pPr>
          </w:p>
        </w:tc>
        <w:tc>
          <w:tcPr>
            <w:tcW w:w="593" w:type="pct"/>
            <w:vAlign w:val="center"/>
          </w:tcPr>
          <w:p w:rsidR="008C0784" w:rsidRPr="00587DF2" w:rsidRDefault="008C0784" w:rsidP="00444CE0">
            <w:pPr>
              <w:pStyle w:val="INnormal"/>
              <w:jc w:val="center"/>
              <w:rPr>
                <w:rFonts w:ascii="Arial" w:hAnsi="Arial" w:cs="Arial"/>
                <w:b/>
                <w:sz w:val="18"/>
                <w:szCs w:val="18"/>
              </w:rPr>
            </w:pPr>
            <w:r w:rsidRPr="00587DF2">
              <w:rPr>
                <w:rFonts w:ascii="Arial" w:hAnsi="Arial" w:cs="Arial"/>
                <w:b/>
                <w:sz w:val="18"/>
                <w:szCs w:val="18"/>
              </w:rPr>
              <w:t>2010</w:t>
            </w:r>
          </w:p>
        </w:tc>
        <w:tc>
          <w:tcPr>
            <w:tcW w:w="593" w:type="pct"/>
            <w:vAlign w:val="center"/>
          </w:tcPr>
          <w:p w:rsidR="008C0784" w:rsidRPr="00587DF2" w:rsidRDefault="008C0784" w:rsidP="00444CE0">
            <w:pPr>
              <w:pStyle w:val="INnormal"/>
              <w:jc w:val="center"/>
              <w:rPr>
                <w:rFonts w:ascii="Arial" w:hAnsi="Arial" w:cs="Arial"/>
                <w:b/>
                <w:sz w:val="18"/>
                <w:szCs w:val="18"/>
              </w:rPr>
            </w:pPr>
            <w:r w:rsidRPr="00587DF2">
              <w:rPr>
                <w:rFonts w:ascii="Arial" w:hAnsi="Arial" w:cs="Arial"/>
                <w:b/>
                <w:sz w:val="18"/>
                <w:szCs w:val="18"/>
              </w:rPr>
              <w:t>2011</w:t>
            </w:r>
          </w:p>
        </w:tc>
        <w:tc>
          <w:tcPr>
            <w:tcW w:w="819" w:type="pct"/>
            <w:vAlign w:val="center"/>
          </w:tcPr>
          <w:p w:rsidR="008C0784" w:rsidRPr="00587DF2" w:rsidRDefault="008C0784" w:rsidP="00444CE0">
            <w:pPr>
              <w:pStyle w:val="INnormal"/>
              <w:jc w:val="center"/>
              <w:rPr>
                <w:rFonts w:ascii="Arial" w:hAnsi="Arial" w:cs="Arial"/>
                <w:b/>
                <w:sz w:val="18"/>
                <w:szCs w:val="18"/>
              </w:rPr>
            </w:pPr>
            <w:r w:rsidRPr="00587DF2">
              <w:rPr>
                <w:rFonts w:ascii="Arial" w:hAnsi="Arial" w:cs="Arial"/>
                <w:b/>
                <w:sz w:val="18"/>
                <w:szCs w:val="18"/>
              </w:rPr>
              <w:t>Forecast 2012</w:t>
            </w:r>
          </w:p>
        </w:tc>
        <w:tc>
          <w:tcPr>
            <w:tcW w:w="819" w:type="pct"/>
            <w:vAlign w:val="center"/>
          </w:tcPr>
          <w:p w:rsidR="008C0784" w:rsidRPr="00587DF2" w:rsidRDefault="008C0784" w:rsidP="00444CE0">
            <w:pPr>
              <w:pStyle w:val="INnormal"/>
              <w:jc w:val="center"/>
              <w:rPr>
                <w:rFonts w:ascii="Arial" w:hAnsi="Arial" w:cs="Arial"/>
                <w:b/>
                <w:sz w:val="18"/>
                <w:szCs w:val="18"/>
              </w:rPr>
            </w:pPr>
            <w:r w:rsidRPr="00587DF2">
              <w:rPr>
                <w:rFonts w:ascii="Arial" w:hAnsi="Arial" w:cs="Arial"/>
                <w:b/>
                <w:sz w:val="18"/>
                <w:szCs w:val="18"/>
              </w:rPr>
              <w:t>Forecast 2013</w:t>
            </w:r>
          </w:p>
        </w:tc>
      </w:tr>
      <w:tr w:rsidR="008C0784" w:rsidRPr="00587DF2" w:rsidTr="00444CE0">
        <w:tc>
          <w:tcPr>
            <w:tcW w:w="2176" w:type="pct"/>
            <w:vAlign w:val="center"/>
          </w:tcPr>
          <w:p w:rsidR="008C0784" w:rsidRPr="00587DF2" w:rsidRDefault="008C0784" w:rsidP="00444CE0">
            <w:pPr>
              <w:pStyle w:val="INnormal"/>
              <w:rPr>
                <w:rFonts w:ascii="Arial" w:hAnsi="Arial" w:cs="Arial"/>
                <w:b/>
                <w:sz w:val="18"/>
                <w:szCs w:val="18"/>
              </w:rPr>
            </w:pPr>
            <w:r w:rsidRPr="00587DF2">
              <w:rPr>
                <w:rFonts w:ascii="Arial" w:hAnsi="Arial" w:cs="Arial"/>
                <w:b/>
                <w:sz w:val="18"/>
                <w:szCs w:val="18"/>
              </w:rPr>
              <w:t>Number of biogas plants</w:t>
            </w:r>
          </w:p>
          <w:p w:rsidR="008C0784" w:rsidRPr="00587DF2" w:rsidRDefault="008C0784" w:rsidP="00444CE0">
            <w:pPr>
              <w:pStyle w:val="INnormal"/>
              <w:rPr>
                <w:rFonts w:ascii="Arial" w:hAnsi="Arial" w:cs="Arial"/>
                <w:b/>
                <w:sz w:val="18"/>
                <w:szCs w:val="18"/>
              </w:rPr>
            </w:pPr>
            <w:r w:rsidRPr="00587DF2">
              <w:rPr>
                <w:rFonts w:ascii="Arial" w:hAnsi="Arial" w:cs="Arial"/>
                <w:b/>
                <w:sz w:val="18"/>
                <w:szCs w:val="18"/>
              </w:rPr>
              <w:t xml:space="preserve">(of these feeding </w:t>
            </w:r>
            <w:proofErr w:type="spellStart"/>
            <w:r w:rsidRPr="00587DF2">
              <w:rPr>
                <w:rFonts w:ascii="Arial" w:hAnsi="Arial" w:cs="Arial"/>
                <w:b/>
                <w:sz w:val="18"/>
                <w:szCs w:val="18"/>
              </w:rPr>
              <w:t>biomethane</w:t>
            </w:r>
            <w:proofErr w:type="spellEnd"/>
            <w:r w:rsidRPr="00587DF2">
              <w:rPr>
                <w:rFonts w:ascii="Arial" w:hAnsi="Arial" w:cs="Arial"/>
                <w:b/>
                <w:sz w:val="18"/>
                <w:szCs w:val="18"/>
              </w:rPr>
              <w:t>)</w:t>
            </w:r>
          </w:p>
        </w:tc>
        <w:tc>
          <w:tcPr>
            <w:tcW w:w="593" w:type="pct"/>
            <w:vAlign w:val="center"/>
          </w:tcPr>
          <w:p w:rsidR="008C0784" w:rsidRPr="00587DF2" w:rsidRDefault="008C0784" w:rsidP="00444CE0">
            <w:pPr>
              <w:pStyle w:val="INnormal"/>
              <w:jc w:val="center"/>
              <w:rPr>
                <w:rFonts w:ascii="Arial" w:hAnsi="Arial" w:cs="Arial"/>
                <w:sz w:val="18"/>
                <w:szCs w:val="18"/>
              </w:rPr>
            </w:pPr>
            <w:r w:rsidRPr="00587DF2">
              <w:rPr>
                <w:rFonts w:ascii="Arial" w:hAnsi="Arial" w:cs="Arial"/>
                <w:sz w:val="18"/>
                <w:szCs w:val="18"/>
              </w:rPr>
              <w:t>5,905</w:t>
            </w:r>
          </w:p>
          <w:p w:rsidR="008C0784" w:rsidRPr="00587DF2" w:rsidRDefault="008C0784" w:rsidP="00444CE0">
            <w:pPr>
              <w:pStyle w:val="INnormal"/>
              <w:jc w:val="center"/>
              <w:rPr>
                <w:rFonts w:ascii="Arial" w:hAnsi="Arial" w:cs="Arial"/>
                <w:sz w:val="18"/>
                <w:szCs w:val="18"/>
              </w:rPr>
            </w:pPr>
            <w:r w:rsidRPr="00587DF2">
              <w:rPr>
                <w:rFonts w:ascii="Arial" w:hAnsi="Arial" w:cs="Arial"/>
                <w:sz w:val="18"/>
                <w:szCs w:val="18"/>
              </w:rPr>
              <w:t>(45)</w:t>
            </w:r>
          </w:p>
        </w:tc>
        <w:tc>
          <w:tcPr>
            <w:tcW w:w="593" w:type="pct"/>
            <w:vAlign w:val="center"/>
          </w:tcPr>
          <w:p w:rsidR="008C0784" w:rsidRPr="00587DF2" w:rsidRDefault="008C0784" w:rsidP="00444CE0">
            <w:pPr>
              <w:pStyle w:val="INnormal"/>
              <w:jc w:val="center"/>
              <w:rPr>
                <w:rFonts w:ascii="Arial" w:hAnsi="Arial" w:cs="Arial"/>
                <w:sz w:val="18"/>
                <w:szCs w:val="18"/>
              </w:rPr>
            </w:pPr>
            <w:r w:rsidRPr="00587DF2">
              <w:rPr>
                <w:rFonts w:ascii="Arial" w:hAnsi="Arial" w:cs="Arial"/>
                <w:sz w:val="18"/>
                <w:szCs w:val="18"/>
              </w:rPr>
              <w:t>7,215</w:t>
            </w:r>
          </w:p>
          <w:p w:rsidR="008C0784" w:rsidRPr="00587DF2" w:rsidRDefault="008C0784" w:rsidP="00444CE0">
            <w:pPr>
              <w:pStyle w:val="INnormal"/>
              <w:jc w:val="center"/>
              <w:rPr>
                <w:rFonts w:ascii="Arial" w:hAnsi="Arial" w:cs="Arial"/>
                <w:sz w:val="18"/>
                <w:szCs w:val="18"/>
              </w:rPr>
            </w:pPr>
            <w:r w:rsidRPr="00587DF2">
              <w:rPr>
                <w:rFonts w:ascii="Arial" w:hAnsi="Arial" w:cs="Arial"/>
                <w:sz w:val="18"/>
                <w:szCs w:val="18"/>
              </w:rPr>
              <w:t>(80)</w:t>
            </w:r>
          </w:p>
        </w:tc>
        <w:tc>
          <w:tcPr>
            <w:tcW w:w="819" w:type="pct"/>
            <w:vAlign w:val="center"/>
          </w:tcPr>
          <w:p w:rsidR="008C0784" w:rsidRPr="00587DF2" w:rsidRDefault="008C0784" w:rsidP="00444CE0">
            <w:pPr>
              <w:pStyle w:val="INnormal"/>
              <w:jc w:val="center"/>
              <w:rPr>
                <w:rFonts w:ascii="Arial" w:hAnsi="Arial" w:cs="Arial"/>
                <w:sz w:val="18"/>
                <w:szCs w:val="18"/>
              </w:rPr>
            </w:pPr>
            <w:r w:rsidRPr="00587DF2">
              <w:rPr>
                <w:rFonts w:ascii="Arial" w:hAnsi="Arial" w:cs="Arial"/>
                <w:sz w:val="18"/>
                <w:szCs w:val="18"/>
              </w:rPr>
              <w:t>7,521</w:t>
            </w:r>
          </w:p>
          <w:p w:rsidR="008C0784" w:rsidRPr="00587DF2" w:rsidRDefault="008C0784" w:rsidP="00444CE0">
            <w:pPr>
              <w:pStyle w:val="INnormal"/>
              <w:jc w:val="center"/>
              <w:rPr>
                <w:rFonts w:ascii="Arial" w:hAnsi="Arial" w:cs="Arial"/>
                <w:sz w:val="18"/>
                <w:szCs w:val="18"/>
              </w:rPr>
            </w:pPr>
            <w:r w:rsidRPr="00587DF2">
              <w:rPr>
                <w:rFonts w:ascii="Arial" w:hAnsi="Arial" w:cs="Arial"/>
                <w:sz w:val="18"/>
                <w:szCs w:val="18"/>
              </w:rPr>
              <w:t>(100)</w:t>
            </w:r>
          </w:p>
        </w:tc>
        <w:tc>
          <w:tcPr>
            <w:tcW w:w="819" w:type="pct"/>
            <w:vAlign w:val="center"/>
          </w:tcPr>
          <w:p w:rsidR="008C0784" w:rsidRPr="00587DF2" w:rsidRDefault="008C0784" w:rsidP="00444CE0">
            <w:pPr>
              <w:pStyle w:val="INnormal"/>
              <w:jc w:val="center"/>
              <w:rPr>
                <w:rFonts w:ascii="Arial" w:hAnsi="Arial" w:cs="Arial"/>
                <w:sz w:val="18"/>
                <w:szCs w:val="18"/>
              </w:rPr>
            </w:pPr>
            <w:r w:rsidRPr="00587DF2">
              <w:rPr>
                <w:rFonts w:ascii="Arial" w:hAnsi="Arial" w:cs="Arial"/>
                <w:sz w:val="18"/>
                <w:szCs w:val="18"/>
              </w:rPr>
              <w:t>7,895</w:t>
            </w:r>
          </w:p>
          <w:p w:rsidR="008C0784" w:rsidRPr="00587DF2" w:rsidRDefault="008C0784" w:rsidP="00444CE0">
            <w:pPr>
              <w:pStyle w:val="INnormal"/>
              <w:jc w:val="center"/>
              <w:rPr>
                <w:rFonts w:ascii="Arial" w:hAnsi="Arial" w:cs="Arial"/>
                <w:sz w:val="18"/>
                <w:szCs w:val="18"/>
              </w:rPr>
            </w:pPr>
            <w:r w:rsidRPr="00587DF2">
              <w:rPr>
                <w:rFonts w:ascii="Arial" w:hAnsi="Arial" w:cs="Arial"/>
                <w:sz w:val="18"/>
                <w:szCs w:val="18"/>
              </w:rPr>
              <w:t>(120)</w:t>
            </w:r>
          </w:p>
        </w:tc>
      </w:tr>
      <w:tr w:rsidR="008C0784" w:rsidRPr="00587DF2" w:rsidTr="00444CE0">
        <w:tc>
          <w:tcPr>
            <w:tcW w:w="2176" w:type="pct"/>
            <w:vAlign w:val="center"/>
          </w:tcPr>
          <w:p w:rsidR="008C0784" w:rsidRPr="00587DF2" w:rsidRDefault="00587DF2" w:rsidP="00444CE0">
            <w:pPr>
              <w:pStyle w:val="INnormal"/>
              <w:rPr>
                <w:rFonts w:ascii="Arial" w:hAnsi="Arial" w:cs="Arial"/>
                <w:b/>
                <w:sz w:val="18"/>
                <w:szCs w:val="18"/>
              </w:rPr>
            </w:pPr>
            <w:r>
              <w:rPr>
                <w:rFonts w:ascii="Arial" w:hAnsi="Arial" w:cs="Arial"/>
                <w:b/>
                <w:sz w:val="18"/>
                <w:szCs w:val="18"/>
              </w:rPr>
              <w:t>Installed electric output (</w:t>
            </w:r>
            <w:r w:rsidR="008C0784" w:rsidRPr="00587DF2">
              <w:rPr>
                <w:rFonts w:ascii="Arial" w:hAnsi="Arial" w:cs="Arial"/>
                <w:b/>
                <w:sz w:val="18"/>
                <w:szCs w:val="18"/>
              </w:rPr>
              <w:t>MW</w:t>
            </w:r>
            <w:r>
              <w:rPr>
                <w:rFonts w:ascii="Arial" w:hAnsi="Arial" w:cs="Arial"/>
                <w:b/>
                <w:sz w:val="18"/>
                <w:szCs w:val="18"/>
              </w:rPr>
              <w:t>)</w:t>
            </w:r>
          </w:p>
        </w:tc>
        <w:tc>
          <w:tcPr>
            <w:tcW w:w="593" w:type="pct"/>
            <w:vAlign w:val="center"/>
          </w:tcPr>
          <w:p w:rsidR="008C0784" w:rsidRPr="00587DF2" w:rsidRDefault="008C0784" w:rsidP="00444CE0">
            <w:pPr>
              <w:pStyle w:val="INnormal"/>
              <w:jc w:val="center"/>
              <w:rPr>
                <w:rFonts w:ascii="Arial" w:hAnsi="Arial" w:cs="Arial"/>
                <w:sz w:val="18"/>
                <w:szCs w:val="18"/>
              </w:rPr>
            </w:pPr>
            <w:r w:rsidRPr="00587DF2">
              <w:rPr>
                <w:rFonts w:ascii="Arial" w:hAnsi="Arial" w:cs="Arial"/>
                <w:sz w:val="18"/>
                <w:szCs w:val="18"/>
              </w:rPr>
              <w:t>2,291</w:t>
            </w:r>
          </w:p>
        </w:tc>
        <w:tc>
          <w:tcPr>
            <w:tcW w:w="593" w:type="pct"/>
            <w:vAlign w:val="center"/>
          </w:tcPr>
          <w:p w:rsidR="008C0784" w:rsidRPr="00587DF2" w:rsidRDefault="008C0784" w:rsidP="00444CE0">
            <w:pPr>
              <w:pStyle w:val="INnormal"/>
              <w:jc w:val="center"/>
              <w:rPr>
                <w:rFonts w:ascii="Arial" w:hAnsi="Arial" w:cs="Arial"/>
                <w:sz w:val="18"/>
                <w:szCs w:val="18"/>
              </w:rPr>
            </w:pPr>
            <w:r w:rsidRPr="00587DF2">
              <w:rPr>
                <w:rFonts w:ascii="Arial" w:hAnsi="Arial" w:cs="Arial"/>
                <w:sz w:val="18"/>
                <w:szCs w:val="18"/>
              </w:rPr>
              <w:t>2,904</w:t>
            </w:r>
          </w:p>
        </w:tc>
        <w:tc>
          <w:tcPr>
            <w:tcW w:w="819" w:type="pct"/>
            <w:vAlign w:val="center"/>
          </w:tcPr>
          <w:p w:rsidR="008C0784" w:rsidRPr="00587DF2" w:rsidRDefault="008C0784" w:rsidP="00444CE0">
            <w:pPr>
              <w:pStyle w:val="INnormal"/>
              <w:jc w:val="center"/>
              <w:rPr>
                <w:rFonts w:ascii="Arial" w:hAnsi="Arial" w:cs="Arial"/>
                <w:sz w:val="18"/>
                <w:szCs w:val="18"/>
              </w:rPr>
            </w:pPr>
            <w:r w:rsidRPr="00587DF2">
              <w:rPr>
                <w:rFonts w:ascii="Arial" w:hAnsi="Arial" w:cs="Arial"/>
                <w:sz w:val="18"/>
                <w:szCs w:val="18"/>
              </w:rPr>
              <w:t>3,185</w:t>
            </w:r>
          </w:p>
        </w:tc>
        <w:tc>
          <w:tcPr>
            <w:tcW w:w="819" w:type="pct"/>
            <w:vAlign w:val="center"/>
          </w:tcPr>
          <w:p w:rsidR="008C0784" w:rsidRPr="00587DF2" w:rsidRDefault="008C0784" w:rsidP="00444CE0">
            <w:pPr>
              <w:pStyle w:val="INnormal"/>
              <w:jc w:val="center"/>
              <w:rPr>
                <w:rFonts w:ascii="Arial" w:hAnsi="Arial" w:cs="Arial"/>
                <w:sz w:val="18"/>
                <w:szCs w:val="18"/>
              </w:rPr>
            </w:pPr>
            <w:r w:rsidRPr="00587DF2">
              <w:rPr>
                <w:rFonts w:ascii="Arial" w:hAnsi="Arial" w:cs="Arial"/>
                <w:sz w:val="18"/>
                <w:szCs w:val="18"/>
              </w:rPr>
              <w:t>3,312</w:t>
            </w:r>
          </w:p>
        </w:tc>
      </w:tr>
      <w:tr w:rsidR="008C0784" w:rsidRPr="00587DF2" w:rsidTr="00444CE0">
        <w:tc>
          <w:tcPr>
            <w:tcW w:w="2176" w:type="pct"/>
            <w:vAlign w:val="center"/>
          </w:tcPr>
          <w:p w:rsidR="008C0784" w:rsidRPr="00587DF2" w:rsidRDefault="00587DF2" w:rsidP="00444CE0">
            <w:pPr>
              <w:pStyle w:val="INnormal"/>
              <w:rPr>
                <w:rFonts w:ascii="Arial" w:hAnsi="Arial" w:cs="Arial"/>
                <w:b/>
                <w:sz w:val="18"/>
                <w:szCs w:val="18"/>
              </w:rPr>
            </w:pPr>
            <w:r>
              <w:rPr>
                <w:rFonts w:ascii="Arial" w:hAnsi="Arial" w:cs="Arial"/>
                <w:b/>
                <w:sz w:val="18"/>
                <w:szCs w:val="18"/>
              </w:rPr>
              <w:t>Net electricity production (</w:t>
            </w:r>
            <w:proofErr w:type="spellStart"/>
            <w:r>
              <w:rPr>
                <w:rFonts w:ascii="Arial" w:hAnsi="Arial" w:cs="Arial"/>
                <w:b/>
                <w:sz w:val="18"/>
                <w:szCs w:val="18"/>
              </w:rPr>
              <w:t>MWh</w:t>
            </w:r>
            <w:proofErr w:type="spellEnd"/>
            <w:r>
              <w:rPr>
                <w:rFonts w:ascii="Arial" w:hAnsi="Arial" w:cs="Arial"/>
                <w:b/>
                <w:sz w:val="18"/>
                <w:szCs w:val="18"/>
              </w:rPr>
              <w:t>/a)</w:t>
            </w:r>
          </w:p>
        </w:tc>
        <w:tc>
          <w:tcPr>
            <w:tcW w:w="593" w:type="pct"/>
            <w:vAlign w:val="center"/>
          </w:tcPr>
          <w:p w:rsidR="008C0784" w:rsidRPr="00587DF2" w:rsidRDefault="008C0784" w:rsidP="00444CE0">
            <w:pPr>
              <w:pStyle w:val="INnormal"/>
              <w:jc w:val="center"/>
              <w:rPr>
                <w:rFonts w:ascii="Arial" w:hAnsi="Arial" w:cs="Arial"/>
                <w:sz w:val="18"/>
                <w:szCs w:val="18"/>
              </w:rPr>
            </w:pPr>
            <w:r w:rsidRPr="00587DF2">
              <w:rPr>
                <w:rFonts w:ascii="Arial" w:hAnsi="Arial" w:cs="Arial"/>
                <w:sz w:val="18"/>
                <w:szCs w:val="18"/>
              </w:rPr>
              <w:t>15.0 Mio.</w:t>
            </w:r>
          </w:p>
        </w:tc>
        <w:tc>
          <w:tcPr>
            <w:tcW w:w="593" w:type="pct"/>
            <w:vAlign w:val="center"/>
          </w:tcPr>
          <w:p w:rsidR="008C0784" w:rsidRPr="00587DF2" w:rsidRDefault="008C0784" w:rsidP="00444CE0">
            <w:pPr>
              <w:pStyle w:val="INnormal"/>
              <w:jc w:val="center"/>
              <w:rPr>
                <w:rFonts w:ascii="Arial" w:hAnsi="Arial" w:cs="Arial"/>
                <w:sz w:val="18"/>
                <w:szCs w:val="18"/>
              </w:rPr>
            </w:pPr>
            <w:r w:rsidRPr="00587DF2">
              <w:rPr>
                <w:rFonts w:ascii="Arial" w:hAnsi="Arial" w:cs="Arial"/>
                <w:sz w:val="18"/>
                <w:szCs w:val="18"/>
              </w:rPr>
              <w:t>18.4 Mio.</w:t>
            </w:r>
          </w:p>
        </w:tc>
        <w:tc>
          <w:tcPr>
            <w:tcW w:w="819" w:type="pct"/>
            <w:vAlign w:val="center"/>
          </w:tcPr>
          <w:p w:rsidR="008C0784" w:rsidRPr="00587DF2" w:rsidRDefault="008C0784" w:rsidP="00444CE0">
            <w:pPr>
              <w:pStyle w:val="INnormal"/>
              <w:jc w:val="center"/>
              <w:rPr>
                <w:rFonts w:ascii="Arial" w:hAnsi="Arial" w:cs="Arial"/>
                <w:sz w:val="18"/>
                <w:szCs w:val="18"/>
              </w:rPr>
            </w:pPr>
            <w:r w:rsidRPr="00587DF2">
              <w:rPr>
                <w:rFonts w:ascii="Arial" w:hAnsi="Arial" w:cs="Arial"/>
                <w:sz w:val="18"/>
                <w:szCs w:val="18"/>
              </w:rPr>
              <w:t>21.57 Mio.</w:t>
            </w:r>
          </w:p>
        </w:tc>
        <w:tc>
          <w:tcPr>
            <w:tcW w:w="819" w:type="pct"/>
            <w:vAlign w:val="center"/>
          </w:tcPr>
          <w:p w:rsidR="008C0784" w:rsidRPr="00587DF2" w:rsidRDefault="008C0784" w:rsidP="00444CE0">
            <w:pPr>
              <w:pStyle w:val="INnormal"/>
              <w:jc w:val="center"/>
              <w:rPr>
                <w:rFonts w:ascii="Arial" w:hAnsi="Arial" w:cs="Arial"/>
                <w:sz w:val="18"/>
                <w:szCs w:val="18"/>
              </w:rPr>
            </w:pPr>
            <w:r w:rsidRPr="00587DF2">
              <w:rPr>
                <w:rFonts w:ascii="Arial" w:hAnsi="Arial" w:cs="Arial"/>
                <w:sz w:val="18"/>
                <w:szCs w:val="18"/>
              </w:rPr>
              <w:t>22.43 Mio.</w:t>
            </w:r>
          </w:p>
        </w:tc>
      </w:tr>
      <w:tr w:rsidR="008C0784" w:rsidRPr="00587DF2" w:rsidTr="00444CE0">
        <w:tc>
          <w:tcPr>
            <w:tcW w:w="2176" w:type="pct"/>
            <w:vAlign w:val="center"/>
          </w:tcPr>
          <w:p w:rsidR="008C0784" w:rsidRPr="00587DF2" w:rsidRDefault="008C0784" w:rsidP="00444CE0">
            <w:pPr>
              <w:pStyle w:val="INnormal"/>
              <w:rPr>
                <w:rFonts w:ascii="Arial" w:hAnsi="Arial" w:cs="Arial"/>
                <w:b/>
                <w:sz w:val="18"/>
                <w:szCs w:val="18"/>
              </w:rPr>
            </w:pPr>
            <w:r w:rsidRPr="00587DF2">
              <w:rPr>
                <w:rFonts w:ascii="Arial" w:hAnsi="Arial" w:cs="Arial"/>
                <w:b/>
                <w:sz w:val="18"/>
                <w:szCs w:val="18"/>
              </w:rPr>
              <w:t>Proport</w:t>
            </w:r>
            <w:r w:rsidR="00587DF2">
              <w:rPr>
                <w:rFonts w:ascii="Arial" w:hAnsi="Arial" w:cs="Arial"/>
                <w:b/>
                <w:sz w:val="18"/>
                <w:szCs w:val="18"/>
              </w:rPr>
              <w:t>ion of electricity consumption (%)</w:t>
            </w:r>
          </w:p>
        </w:tc>
        <w:tc>
          <w:tcPr>
            <w:tcW w:w="593" w:type="pct"/>
            <w:vAlign w:val="center"/>
          </w:tcPr>
          <w:p w:rsidR="008C0784" w:rsidRPr="00587DF2" w:rsidRDefault="008C0784" w:rsidP="00444CE0">
            <w:pPr>
              <w:pStyle w:val="INnormal"/>
              <w:jc w:val="center"/>
              <w:rPr>
                <w:rFonts w:ascii="Arial" w:hAnsi="Arial" w:cs="Arial"/>
                <w:sz w:val="18"/>
                <w:szCs w:val="18"/>
              </w:rPr>
            </w:pPr>
            <w:r w:rsidRPr="00587DF2">
              <w:rPr>
                <w:rFonts w:ascii="Arial" w:hAnsi="Arial" w:cs="Arial"/>
                <w:sz w:val="18"/>
                <w:szCs w:val="18"/>
              </w:rPr>
              <w:t>2.5</w:t>
            </w:r>
          </w:p>
        </w:tc>
        <w:tc>
          <w:tcPr>
            <w:tcW w:w="593" w:type="pct"/>
            <w:vAlign w:val="center"/>
          </w:tcPr>
          <w:p w:rsidR="008C0784" w:rsidRPr="00587DF2" w:rsidRDefault="008C0784" w:rsidP="00444CE0">
            <w:pPr>
              <w:pStyle w:val="INnormal"/>
              <w:jc w:val="center"/>
              <w:rPr>
                <w:rFonts w:ascii="Arial" w:hAnsi="Arial" w:cs="Arial"/>
                <w:sz w:val="18"/>
                <w:szCs w:val="18"/>
              </w:rPr>
            </w:pPr>
            <w:r w:rsidRPr="00587DF2">
              <w:rPr>
                <w:rFonts w:ascii="Arial" w:hAnsi="Arial" w:cs="Arial"/>
                <w:sz w:val="18"/>
                <w:szCs w:val="18"/>
              </w:rPr>
              <w:t>3.03</w:t>
            </w:r>
          </w:p>
        </w:tc>
        <w:tc>
          <w:tcPr>
            <w:tcW w:w="819" w:type="pct"/>
            <w:vAlign w:val="center"/>
          </w:tcPr>
          <w:p w:rsidR="008C0784" w:rsidRPr="00587DF2" w:rsidRDefault="008C0784" w:rsidP="00444CE0">
            <w:pPr>
              <w:pStyle w:val="INnormal"/>
              <w:jc w:val="center"/>
              <w:rPr>
                <w:rFonts w:ascii="Arial" w:hAnsi="Arial" w:cs="Arial"/>
                <w:sz w:val="18"/>
                <w:szCs w:val="18"/>
              </w:rPr>
            </w:pPr>
          </w:p>
        </w:tc>
        <w:tc>
          <w:tcPr>
            <w:tcW w:w="819" w:type="pct"/>
            <w:vAlign w:val="center"/>
          </w:tcPr>
          <w:p w:rsidR="008C0784" w:rsidRPr="00587DF2" w:rsidRDefault="008C0784" w:rsidP="00444CE0">
            <w:pPr>
              <w:pStyle w:val="INnormal"/>
              <w:jc w:val="center"/>
              <w:rPr>
                <w:rFonts w:ascii="Arial" w:hAnsi="Arial" w:cs="Arial"/>
                <w:sz w:val="18"/>
                <w:szCs w:val="18"/>
              </w:rPr>
            </w:pPr>
          </w:p>
        </w:tc>
      </w:tr>
    </w:tbl>
    <w:p w:rsidR="008C0784" w:rsidRPr="00587DF2" w:rsidRDefault="008C0784" w:rsidP="008C0784">
      <w:pPr>
        <w:pStyle w:val="INnormal"/>
        <w:rPr>
          <w:rFonts w:ascii="Arial" w:hAnsi="Arial" w:cs="Arial"/>
          <w:sz w:val="18"/>
          <w:szCs w:val="18"/>
        </w:rPr>
      </w:pPr>
    </w:p>
    <w:p w:rsidR="008C0784" w:rsidRPr="00587DF2" w:rsidRDefault="008C0784" w:rsidP="008C0784">
      <w:pPr>
        <w:pStyle w:val="INnormal"/>
        <w:rPr>
          <w:rFonts w:ascii="Arial" w:hAnsi="Arial" w:cs="Arial"/>
          <w:sz w:val="18"/>
          <w:szCs w:val="18"/>
        </w:rPr>
      </w:pPr>
      <w:r w:rsidRPr="00587DF2">
        <w:rPr>
          <w:rFonts w:ascii="Arial" w:hAnsi="Arial" w:cs="Arial"/>
          <w:sz w:val="18"/>
          <w:szCs w:val="18"/>
        </w:rPr>
        <w:t>The biogas plants are dispersed throughout Germany with a concentration in regions with intensive livestock farming</w:t>
      </w:r>
    </w:p>
    <w:p w:rsidR="008C0784" w:rsidRPr="00587DF2" w:rsidRDefault="008C0784" w:rsidP="008C0784">
      <w:pPr>
        <w:jc w:val="both"/>
        <w:rPr>
          <w:rFonts w:ascii="Arial" w:hAnsi="Arial" w:cs="Arial"/>
          <w:sz w:val="18"/>
          <w:szCs w:val="18"/>
          <w:lang w:val="en-GB"/>
        </w:rPr>
      </w:pPr>
      <w:r w:rsidRPr="00587DF2">
        <w:rPr>
          <w:rFonts w:ascii="Arial" w:hAnsi="Arial" w:cs="Arial"/>
          <w:sz w:val="18"/>
          <w:szCs w:val="18"/>
          <w:lang w:val="en-GB"/>
        </w:rPr>
        <w:t>Biogas plants produce electricity and heat. The generated electricity is fed into the public grid, reimbursed in line with the Renewable Energy Source Act "EEG". The heat is partly used by the system itself. According to the DBFZ survey 45 % of the surplus of heat is used for e.g. district heating, heating of buildings, greenhouses or stables and drying</w:t>
      </w:r>
      <w:r w:rsidR="004C6534" w:rsidRPr="00587DF2">
        <w:rPr>
          <w:rFonts w:ascii="Arial" w:hAnsi="Arial" w:cs="Arial"/>
          <w:sz w:val="18"/>
          <w:szCs w:val="18"/>
          <w:lang w:val="en-GB"/>
        </w:rPr>
        <w:t xml:space="preserve"> processes</w:t>
      </w:r>
      <w:r w:rsidRPr="00587DF2">
        <w:rPr>
          <w:rFonts w:ascii="Arial" w:hAnsi="Arial" w:cs="Arial"/>
          <w:sz w:val="18"/>
          <w:szCs w:val="18"/>
          <w:lang w:val="en-GB"/>
        </w:rPr>
        <w:t>. [DBFZ, 2012]</w:t>
      </w:r>
    </w:p>
    <w:p w:rsidR="008C0784" w:rsidRPr="00587DF2" w:rsidRDefault="008C0784" w:rsidP="008C0784">
      <w:pPr>
        <w:pStyle w:val="INnormal"/>
        <w:rPr>
          <w:rFonts w:ascii="Arial" w:hAnsi="Arial" w:cs="Arial"/>
          <w:sz w:val="18"/>
          <w:szCs w:val="18"/>
          <w:highlight w:val="yellow"/>
        </w:rPr>
      </w:pPr>
      <w:r w:rsidRPr="00587DF2">
        <w:rPr>
          <w:rFonts w:ascii="Arial" w:hAnsi="Arial" w:cs="Arial"/>
          <w:sz w:val="18"/>
          <w:szCs w:val="18"/>
        </w:rPr>
        <w:t xml:space="preserve">As intended by the EEG </w:t>
      </w:r>
      <w:proofErr w:type="spellStart"/>
      <w:r w:rsidRPr="00587DF2">
        <w:rPr>
          <w:rFonts w:ascii="Arial" w:hAnsi="Arial" w:cs="Arial"/>
          <w:sz w:val="18"/>
          <w:szCs w:val="18"/>
        </w:rPr>
        <w:t>boni</w:t>
      </w:r>
      <w:proofErr w:type="spellEnd"/>
      <w:r w:rsidRPr="00587DF2">
        <w:rPr>
          <w:rFonts w:ascii="Arial" w:hAnsi="Arial" w:cs="Arial"/>
          <w:sz w:val="18"/>
          <w:szCs w:val="18"/>
        </w:rPr>
        <w:t xml:space="preserve">-system, the main input materials in biogas plants are energy crops with nearly 50 % (mass percentages), followed by excrements with 43 %. Organic waste and agricultural residues have only a limited share with fewer than 10 %. </w:t>
      </w:r>
    </w:p>
    <w:p w:rsidR="008C0784" w:rsidRPr="00587DF2" w:rsidRDefault="008C0784" w:rsidP="008C0784">
      <w:pPr>
        <w:jc w:val="both"/>
        <w:rPr>
          <w:rFonts w:ascii="Arial" w:eastAsia="Times New Roman" w:hAnsi="Arial" w:cs="Arial"/>
          <w:sz w:val="18"/>
          <w:szCs w:val="18"/>
          <w:lang w:val="en-GB" w:eastAsia="fr-FR"/>
        </w:rPr>
      </w:pPr>
      <w:r w:rsidRPr="00587DF2">
        <w:rPr>
          <w:rFonts w:ascii="Arial" w:eastAsia="Times New Roman" w:hAnsi="Arial" w:cs="Arial"/>
          <w:sz w:val="18"/>
          <w:szCs w:val="18"/>
          <w:lang w:val="en-GB" w:eastAsia="fr-FR"/>
        </w:rPr>
        <w:t xml:space="preserve">Currently overall 199 million tons of solid and liquid manure from cows and pigs are produced in Germany. Furthermore nearly 8 million tons poultry solid manure </w:t>
      </w:r>
      <w:proofErr w:type="gramStart"/>
      <w:r w:rsidRPr="00587DF2">
        <w:rPr>
          <w:rFonts w:ascii="Arial" w:eastAsia="Times New Roman" w:hAnsi="Arial" w:cs="Arial"/>
          <w:sz w:val="18"/>
          <w:szCs w:val="18"/>
          <w:lang w:val="en-GB" w:eastAsia="fr-FR"/>
        </w:rPr>
        <w:t>are</w:t>
      </w:r>
      <w:proofErr w:type="gramEnd"/>
      <w:r w:rsidRPr="00587DF2">
        <w:rPr>
          <w:rFonts w:ascii="Arial" w:eastAsia="Times New Roman" w:hAnsi="Arial" w:cs="Arial"/>
          <w:sz w:val="18"/>
          <w:szCs w:val="18"/>
          <w:lang w:val="en-GB" w:eastAsia="fr-FR"/>
        </w:rPr>
        <w:t xml:space="preserve"> produced. </w:t>
      </w:r>
      <w:r w:rsidR="00E11983" w:rsidRPr="00587DF2">
        <w:rPr>
          <w:rFonts w:ascii="Arial" w:eastAsia="Times New Roman" w:hAnsi="Arial" w:cs="Arial"/>
          <w:sz w:val="18"/>
          <w:szCs w:val="18"/>
          <w:lang w:val="en-GB" w:eastAsia="fr-FR"/>
        </w:rPr>
        <w:t>In</w:t>
      </w:r>
      <w:r w:rsidRPr="00587DF2">
        <w:rPr>
          <w:rFonts w:ascii="Arial" w:eastAsia="Times New Roman" w:hAnsi="Arial" w:cs="Arial"/>
          <w:sz w:val="18"/>
          <w:szCs w:val="18"/>
          <w:lang w:val="en-GB" w:eastAsia="fr-FR"/>
        </w:rPr>
        <w:t xml:space="preserve"> Germany 24.9 million tons cow and pig manure and 1.2 million tons poultry solid manure are used in anaerobic digestion. In the end, 12.6 % of the manure is used in biogas plants.</w:t>
      </w:r>
    </w:p>
    <w:p w:rsidR="008C0784" w:rsidRPr="00587DF2" w:rsidRDefault="008C0784" w:rsidP="008C0784">
      <w:pPr>
        <w:rPr>
          <w:rFonts w:ascii="Arial" w:eastAsia="Times New Roman" w:hAnsi="Arial" w:cs="Arial"/>
          <w:b/>
          <w:sz w:val="18"/>
          <w:szCs w:val="18"/>
          <w:lang w:val="en-GB" w:eastAsia="fr-FR"/>
        </w:rPr>
      </w:pPr>
    </w:p>
    <w:sectPr w:rsidR="008C0784" w:rsidRPr="00587DF2" w:rsidSect="00EB4EE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3102C"/>
    <w:multiLevelType w:val="multilevel"/>
    <w:tmpl w:val="F36E7E84"/>
    <w:lvl w:ilvl="0">
      <w:start w:val="1"/>
      <w:numFmt w:val="decimal"/>
      <w:pStyle w:val="INtitle1"/>
      <w:lvlText w:val="%1"/>
      <w:lvlJc w:val="left"/>
      <w:pPr>
        <w:tabs>
          <w:tab w:val="num" w:pos="432"/>
        </w:tabs>
        <w:ind w:left="432" w:hanging="432"/>
      </w:pPr>
    </w:lvl>
    <w:lvl w:ilvl="1">
      <w:start w:val="1"/>
      <w:numFmt w:val="decimal"/>
      <w:pStyle w:val="INtitle2"/>
      <w:lvlText w:val="%1.%2"/>
      <w:lvlJc w:val="left"/>
      <w:pPr>
        <w:tabs>
          <w:tab w:val="num" w:pos="576"/>
        </w:tabs>
        <w:ind w:left="576" w:hanging="576"/>
      </w:pPr>
    </w:lvl>
    <w:lvl w:ilvl="2">
      <w:start w:val="1"/>
      <w:numFmt w:val="decimal"/>
      <w:pStyle w:val="INtitle3"/>
      <w:lvlText w:val="%1.%2.%3"/>
      <w:lvlJc w:val="left"/>
      <w:pPr>
        <w:tabs>
          <w:tab w:val="num" w:pos="720"/>
        </w:tabs>
        <w:ind w:left="720" w:hanging="720"/>
      </w:pPr>
    </w:lvl>
    <w:lvl w:ilvl="3">
      <w:start w:val="1"/>
      <w:numFmt w:val="decimal"/>
      <w:pStyle w:val="INtitle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784"/>
    <w:rsid w:val="000E1061"/>
    <w:rsid w:val="00144515"/>
    <w:rsid w:val="004C6534"/>
    <w:rsid w:val="00587DF2"/>
    <w:rsid w:val="00637F86"/>
    <w:rsid w:val="00675811"/>
    <w:rsid w:val="008C0784"/>
    <w:rsid w:val="009A1A70"/>
    <w:rsid w:val="00B13947"/>
    <w:rsid w:val="00B15230"/>
    <w:rsid w:val="00BF6869"/>
    <w:rsid w:val="00C35ADD"/>
    <w:rsid w:val="00E11983"/>
    <w:rsid w:val="00E41E8D"/>
    <w:rsid w:val="00EB4EEF"/>
    <w:rsid w:val="00F854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8C07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semiHidden/>
    <w:unhideWhenUsed/>
    <w:qFormat/>
    <w:rsid w:val="008C07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semiHidden/>
    <w:unhideWhenUsed/>
    <w:qFormat/>
    <w:rsid w:val="008C0784"/>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semiHidden/>
    <w:unhideWhenUsed/>
    <w:qFormat/>
    <w:rsid w:val="008C078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INtitle1">
    <w:name w:val="INtitle1"/>
    <w:basedOn w:val="Cmsor1"/>
    <w:next w:val="INnormal"/>
    <w:rsid w:val="008C0784"/>
    <w:pPr>
      <w:keepNext w:val="0"/>
      <w:keepLines w:val="0"/>
      <w:numPr>
        <w:numId w:val="1"/>
      </w:numPr>
      <w:spacing w:before="120" w:after="240" w:line="240" w:lineRule="auto"/>
    </w:pPr>
    <w:rPr>
      <w:rFonts w:ascii="Arial" w:eastAsia="Times New Roman" w:hAnsi="Arial" w:cs="Times New Roman"/>
      <w:bCs w:val="0"/>
      <w:color w:val="auto"/>
      <w:szCs w:val="20"/>
      <w:lang w:val="en-GB" w:eastAsia="fr-FR"/>
    </w:rPr>
  </w:style>
  <w:style w:type="paragraph" w:customStyle="1" w:styleId="INtitle2">
    <w:name w:val="INtitle2"/>
    <w:basedOn w:val="Cmsor2"/>
    <w:next w:val="INnormal"/>
    <w:rsid w:val="008C0784"/>
    <w:pPr>
      <w:keepLines w:val="0"/>
      <w:numPr>
        <w:ilvl w:val="1"/>
        <w:numId w:val="1"/>
      </w:numPr>
      <w:spacing w:before="120" w:after="120" w:line="240" w:lineRule="auto"/>
    </w:pPr>
    <w:rPr>
      <w:rFonts w:ascii="Arial" w:eastAsia="Times New Roman" w:hAnsi="Arial" w:cs="Arial"/>
      <w:bCs w:val="0"/>
      <w:i/>
      <w:color w:val="auto"/>
      <w:sz w:val="24"/>
      <w:szCs w:val="24"/>
      <w:lang w:val="en-GB" w:eastAsia="fr-FR"/>
    </w:rPr>
  </w:style>
  <w:style w:type="paragraph" w:customStyle="1" w:styleId="INtitle3">
    <w:name w:val="INtitle3"/>
    <w:basedOn w:val="Cmsor3"/>
    <w:next w:val="INnormal"/>
    <w:rsid w:val="008C0784"/>
    <w:pPr>
      <w:keepLines w:val="0"/>
      <w:numPr>
        <w:ilvl w:val="2"/>
        <w:numId w:val="1"/>
      </w:numPr>
      <w:spacing w:before="0" w:after="120" w:line="240" w:lineRule="auto"/>
    </w:pPr>
    <w:rPr>
      <w:rFonts w:ascii="Arial" w:eastAsia="Times New Roman" w:hAnsi="Arial" w:cs="Times New Roman"/>
      <w:bCs w:val="0"/>
      <w:color w:val="auto"/>
      <w:szCs w:val="20"/>
      <w:lang w:val="en-GB" w:eastAsia="fr-FR"/>
    </w:rPr>
  </w:style>
  <w:style w:type="paragraph" w:customStyle="1" w:styleId="INtitle4">
    <w:name w:val="INtitle4"/>
    <w:basedOn w:val="Cmsor4"/>
    <w:next w:val="INnormal"/>
    <w:rsid w:val="008C0784"/>
    <w:pPr>
      <w:keepLines w:val="0"/>
      <w:numPr>
        <w:ilvl w:val="3"/>
        <w:numId w:val="1"/>
      </w:numPr>
      <w:spacing w:before="0" w:after="120" w:line="240" w:lineRule="auto"/>
    </w:pPr>
    <w:rPr>
      <w:rFonts w:asciiTheme="minorHAnsi" w:eastAsia="Times New Roman" w:hAnsiTheme="minorHAnsi" w:cstheme="minorHAnsi"/>
      <w:bCs w:val="0"/>
      <w:iCs w:val="0"/>
      <w:color w:val="auto"/>
      <w:szCs w:val="20"/>
      <w:lang w:val="fr-FR" w:eastAsia="fr-FR"/>
    </w:rPr>
  </w:style>
  <w:style w:type="paragraph" w:customStyle="1" w:styleId="INnormal">
    <w:name w:val="INnormal"/>
    <w:basedOn w:val="Norml"/>
    <w:qFormat/>
    <w:rsid w:val="008C0784"/>
    <w:rPr>
      <w:rFonts w:eastAsia="Times New Roman" w:cs="Times New Roman"/>
      <w:szCs w:val="20"/>
      <w:lang w:val="en-GB" w:eastAsia="fr-FR"/>
    </w:rPr>
  </w:style>
  <w:style w:type="paragraph" w:customStyle="1" w:styleId="INcaption">
    <w:name w:val="INcaption"/>
    <w:basedOn w:val="INnormal"/>
    <w:qFormat/>
    <w:rsid w:val="008C0784"/>
  </w:style>
  <w:style w:type="table" w:styleId="Rcsostblzat">
    <w:name w:val="Table Grid"/>
    <w:basedOn w:val="Normltblzat"/>
    <w:uiPriority w:val="59"/>
    <w:rsid w:val="008C0784"/>
    <w:pPr>
      <w:spacing w:after="0" w:line="240" w:lineRule="auto"/>
    </w:pPr>
    <w:rPr>
      <w:lang w:val="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sor1Char">
    <w:name w:val="Címsor 1 Char"/>
    <w:basedOn w:val="Bekezdsalapbettpusa"/>
    <w:link w:val="Cmsor1"/>
    <w:uiPriority w:val="9"/>
    <w:rsid w:val="008C0784"/>
    <w:rPr>
      <w:rFonts w:asciiTheme="majorHAnsi" w:eastAsiaTheme="majorEastAsia" w:hAnsiTheme="majorHAnsi" w:cstheme="majorBidi"/>
      <w:b/>
      <w:bCs/>
      <w:color w:val="365F91" w:themeColor="accent1" w:themeShade="BF"/>
      <w:sz w:val="28"/>
      <w:szCs w:val="28"/>
      <w:lang w:val="nl-BE"/>
    </w:rPr>
  </w:style>
  <w:style w:type="character" w:customStyle="1" w:styleId="Cmsor2Char">
    <w:name w:val="Címsor 2 Char"/>
    <w:basedOn w:val="Bekezdsalapbettpusa"/>
    <w:link w:val="Cmsor2"/>
    <w:uiPriority w:val="9"/>
    <w:semiHidden/>
    <w:rsid w:val="008C0784"/>
    <w:rPr>
      <w:rFonts w:asciiTheme="majorHAnsi" w:eastAsiaTheme="majorEastAsia" w:hAnsiTheme="majorHAnsi" w:cstheme="majorBidi"/>
      <w:b/>
      <w:bCs/>
      <w:color w:val="4F81BD" w:themeColor="accent1"/>
      <w:sz w:val="26"/>
      <w:szCs w:val="26"/>
      <w:lang w:val="nl-BE"/>
    </w:rPr>
  </w:style>
  <w:style w:type="character" w:customStyle="1" w:styleId="Cmsor3Char">
    <w:name w:val="Címsor 3 Char"/>
    <w:basedOn w:val="Bekezdsalapbettpusa"/>
    <w:link w:val="Cmsor3"/>
    <w:uiPriority w:val="9"/>
    <w:semiHidden/>
    <w:rsid w:val="008C0784"/>
    <w:rPr>
      <w:rFonts w:asciiTheme="majorHAnsi" w:eastAsiaTheme="majorEastAsia" w:hAnsiTheme="majorHAnsi" w:cstheme="majorBidi"/>
      <w:b/>
      <w:bCs/>
      <w:color w:val="4F81BD" w:themeColor="accent1"/>
      <w:lang w:val="nl-BE"/>
    </w:rPr>
  </w:style>
  <w:style w:type="character" w:customStyle="1" w:styleId="Cmsor4Char">
    <w:name w:val="Címsor 4 Char"/>
    <w:basedOn w:val="Bekezdsalapbettpusa"/>
    <w:link w:val="Cmsor4"/>
    <w:uiPriority w:val="9"/>
    <w:semiHidden/>
    <w:rsid w:val="008C0784"/>
    <w:rPr>
      <w:rFonts w:asciiTheme="majorHAnsi" w:eastAsiaTheme="majorEastAsia" w:hAnsiTheme="majorHAnsi" w:cstheme="majorBidi"/>
      <w:b/>
      <w:bCs/>
      <w:i/>
      <w:iCs/>
      <w:color w:val="4F81BD" w:themeColor="accent1"/>
      <w:lang w:val="nl-BE"/>
    </w:rPr>
  </w:style>
  <w:style w:type="paragraph" w:styleId="Buborkszveg">
    <w:name w:val="Balloon Text"/>
    <w:basedOn w:val="Norml"/>
    <w:link w:val="BuborkszvegChar"/>
    <w:uiPriority w:val="99"/>
    <w:semiHidden/>
    <w:unhideWhenUsed/>
    <w:rsid w:val="008C078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C0784"/>
    <w:rPr>
      <w:rFonts w:ascii="Tahoma" w:hAnsi="Tahoma" w:cs="Tahoma"/>
      <w:sz w:val="16"/>
      <w:szCs w:val="16"/>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8C07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semiHidden/>
    <w:unhideWhenUsed/>
    <w:qFormat/>
    <w:rsid w:val="008C07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semiHidden/>
    <w:unhideWhenUsed/>
    <w:qFormat/>
    <w:rsid w:val="008C0784"/>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semiHidden/>
    <w:unhideWhenUsed/>
    <w:qFormat/>
    <w:rsid w:val="008C078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INtitle1">
    <w:name w:val="INtitle1"/>
    <w:basedOn w:val="Cmsor1"/>
    <w:next w:val="INnormal"/>
    <w:rsid w:val="008C0784"/>
    <w:pPr>
      <w:keepNext w:val="0"/>
      <w:keepLines w:val="0"/>
      <w:numPr>
        <w:numId w:val="1"/>
      </w:numPr>
      <w:spacing w:before="120" w:after="240" w:line="240" w:lineRule="auto"/>
    </w:pPr>
    <w:rPr>
      <w:rFonts w:ascii="Arial" w:eastAsia="Times New Roman" w:hAnsi="Arial" w:cs="Times New Roman"/>
      <w:bCs w:val="0"/>
      <w:color w:val="auto"/>
      <w:szCs w:val="20"/>
      <w:lang w:val="en-GB" w:eastAsia="fr-FR"/>
    </w:rPr>
  </w:style>
  <w:style w:type="paragraph" w:customStyle="1" w:styleId="INtitle2">
    <w:name w:val="INtitle2"/>
    <w:basedOn w:val="Cmsor2"/>
    <w:next w:val="INnormal"/>
    <w:rsid w:val="008C0784"/>
    <w:pPr>
      <w:keepLines w:val="0"/>
      <w:numPr>
        <w:ilvl w:val="1"/>
        <w:numId w:val="1"/>
      </w:numPr>
      <w:spacing w:before="120" w:after="120" w:line="240" w:lineRule="auto"/>
    </w:pPr>
    <w:rPr>
      <w:rFonts w:ascii="Arial" w:eastAsia="Times New Roman" w:hAnsi="Arial" w:cs="Arial"/>
      <w:bCs w:val="0"/>
      <w:i/>
      <w:color w:val="auto"/>
      <w:sz w:val="24"/>
      <w:szCs w:val="24"/>
      <w:lang w:val="en-GB" w:eastAsia="fr-FR"/>
    </w:rPr>
  </w:style>
  <w:style w:type="paragraph" w:customStyle="1" w:styleId="INtitle3">
    <w:name w:val="INtitle3"/>
    <w:basedOn w:val="Cmsor3"/>
    <w:next w:val="INnormal"/>
    <w:rsid w:val="008C0784"/>
    <w:pPr>
      <w:keepLines w:val="0"/>
      <w:numPr>
        <w:ilvl w:val="2"/>
        <w:numId w:val="1"/>
      </w:numPr>
      <w:spacing w:before="0" w:after="120" w:line="240" w:lineRule="auto"/>
    </w:pPr>
    <w:rPr>
      <w:rFonts w:ascii="Arial" w:eastAsia="Times New Roman" w:hAnsi="Arial" w:cs="Times New Roman"/>
      <w:bCs w:val="0"/>
      <w:color w:val="auto"/>
      <w:szCs w:val="20"/>
      <w:lang w:val="en-GB" w:eastAsia="fr-FR"/>
    </w:rPr>
  </w:style>
  <w:style w:type="paragraph" w:customStyle="1" w:styleId="INtitle4">
    <w:name w:val="INtitle4"/>
    <w:basedOn w:val="Cmsor4"/>
    <w:next w:val="INnormal"/>
    <w:rsid w:val="008C0784"/>
    <w:pPr>
      <w:keepLines w:val="0"/>
      <w:numPr>
        <w:ilvl w:val="3"/>
        <w:numId w:val="1"/>
      </w:numPr>
      <w:spacing w:before="0" w:after="120" w:line="240" w:lineRule="auto"/>
    </w:pPr>
    <w:rPr>
      <w:rFonts w:asciiTheme="minorHAnsi" w:eastAsia="Times New Roman" w:hAnsiTheme="minorHAnsi" w:cstheme="minorHAnsi"/>
      <w:bCs w:val="0"/>
      <w:iCs w:val="0"/>
      <w:color w:val="auto"/>
      <w:szCs w:val="20"/>
      <w:lang w:val="fr-FR" w:eastAsia="fr-FR"/>
    </w:rPr>
  </w:style>
  <w:style w:type="paragraph" w:customStyle="1" w:styleId="INnormal">
    <w:name w:val="INnormal"/>
    <w:basedOn w:val="Norml"/>
    <w:qFormat/>
    <w:rsid w:val="008C0784"/>
    <w:rPr>
      <w:rFonts w:eastAsia="Times New Roman" w:cs="Times New Roman"/>
      <w:szCs w:val="20"/>
      <w:lang w:val="en-GB" w:eastAsia="fr-FR"/>
    </w:rPr>
  </w:style>
  <w:style w:type="paragraph" w:customStyle="1" w:styleId="INcaption">
    <w:name w:val="INcaption"/>
    <w:basedOn w:val="INnormal"/>
    <w:qFormat/>
    <w:rsid w:val="008C0784"/>
  </w:style>
  <w:style w:type="table" w:styleId="Rcsostblzat">
    <w:name w:val="Table Grid"/>
    <w:basedOn w:val="Normltblzat"/>
    <w:uiPriority w:val="59"/>
    <w:rsid w:val="008C0784"/>
    <w:pPr>
      <w:spacing w:after="0" w:line="240" w:lineRule="auto"/>
    </w:pPr>
    <w:rPr>
      <w:lang w:val="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sor1Char">
    <w:name w:val="Címsor 1 Char"/>
    <w:basedOn w:val="Bekezdsalapbettpusa"/>
    <w:link w:val="Cmsor1"/>
    <w:uiPriority w:val="9"/>
    <w:rsid w:val="008C0784"/>
    <w:rPr>
      <w:rFonts w:asciiTheme="majorHAnsi" w:eastAsiaTheme="majorEastAsia" w:hAnsiTheme="majorHAnsi" w:cstheme="majorBidi"/>
      <w:b/>
      <w:bCs/>
      <w:color w:val="365F91" w:themeColor="accent1" w:themeShade="BF"/>
      <w:sz w:val="28"/>
      <w:szCs w:val="28"/>
      <w:lang w:val="nl-BE"/>
    </w:rPr>
  </w:style>
  <w:style w:type="character" w:customStyle="1" w:styleId="Cmsor2Char">
    <w:name w:val="Címsor 2 Char"/>
    <w:basedOn w:val="Bekezdsalapbettpusa"/>
    <w:link w:val="Cmsor2"/>
    <w:uiPriority w:val="9"/>
    <w:semiHidden/>
    <w:rsid w:val="008C0784"/>
    <w:rPr>
      <w:rFonts w:asciiTheme="majorHAnsi" w:eastAsiaTheme="majorEastAsia" w:hAnsiTheme="majorHAnsi" w:cstheme="majorBidi"/>
      <w:b/>
      <w:bCs/>
      <w:color w:val="4F81BD" w:themeColor="accent1"/>
      <w:sz w:val="26"/>
      <w:szCs w:val="26"/>
      <w:lang w:val="nl-BE"/>
    </w:rPr>
  </w:style>
  <w:style w:type="character" w:customStyle="1" w:styleId="Cmsor3Char">
    <w:name w:val="Címsor 3 Char"/>
    <w:basedOn w:val="Bekezdsalapbettpusa"/>
    <w:link w:val="Cmsor3"/>
    <w:uiPriority w:val="9"/>
    <w:semiHidden/>
    <w:rsid w:val="008C0784"/>
    <w:rPr>
      <w:rFonts w:asciiTheme="majorHAnsi" w:eastAsiaTheme="majorEastAsia" w:hAnsiTheme="majorHAnsi" w:cstheme="majorBidi"/>
      <w:b/>
      <w:bCs/>
      <w:color w:val="4F81BD" w:themeColor="accent1"/>
      <w:lang w:val="nl-BE"/>
    </w:rPr>
  </w:style>
  <w:style w:type="character" w:customStyle="1" w:styleId="Cmsor4Char">
    <w:name w:val="Címsor 4 Char"/>
    <w:basedOn w:val="Bekezdsalapbettpusa"/>
    <w:link w:val="Cmsor4"/>
    <w:uiPriority w:val="9"/>
    <w:semiHidden/>
    <w:rsid w:val="008C0784"/>
    <w:rPr>
      <w:rFonts w:asciiTheme="majorHAnsi" w:eastAsiaTheme="majorEastAsia" w:hAnsiTheme="majorHAnsi" w:cstheme="majorBidi"/>
      <w:b/>
      <w:bCs/>
      <w:i/>
      <w:iCs/>
      <w:color w:val="4F81BD" w:themeColor="accent1"/>
      <w:lang w:val="nl-BE"/>
    </w:rPr>
  </w:style>
  <w:style w:type="paragraph" w:styleId="Buborkszveg">
    <w:name w:val="Balloon Text"/>
    <w:basedOn w:val="Norml"/>
    <w:link w:val="BuborkszvegChar"/>
    <w:uiPriority w:val="99"/>
    <w:semiHidden/>
    <w:unhideWhenUsed/>
    <w:rsid w:val="008C078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C0784"/>
    <w:rPr>
      <w:rFonts w:ascii="Tahoma" w:hAnsi="Tahoma" w:cs="Tahoma"/>
      <w:sz w:val="16"/>
      <w:szCs w:val="16"/>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343</Words>
  <Characters>2368</Characters>
  <Application>Microsoft Office Word</Application>
  <DocSecurity>0</DocSecurity>
  <Lines>19</Lines>
  <Paragraphs>5</Paragraphs>
  <ScaleCrop>false</ScaleCrop>
  <HeadingPairs>
    <vt:vector size="2" baseType="variant">
      <vt:variant>
        <vt:lpstr>Cím</vt:lpstr>
      </vt:variant>
      <vt:variant>
        <vt:i4>1</vt:i4>
      </vt:variant>
    </vt:vector>
  </HeadingPairs>
  <TitlesOfParts>
    <vt:vector size="1" baseType="lpstr">
      <vt:lpstr/>
    </vt:vector>
  </TitlesOfParts>
  <Company>Izes gGmbH</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ziegler</dc:creator>
  <cp:lastModifiedBy>Zoli</cp:lastModifiedBy>
  <cp:revision>4</cp:revision>
  <dcterms:created xsi:type="dcterms:W3CDTF">2014-04-03T12:19:00Z</dcterms:created>
  <dcterms:modified xsi:type="dcterms:W3CDTF">2014-04-10T10:31:00Z</dcterms:modified>
</cp:coreProperties>
</file>